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D23155">
        <w:rPr>
          <w:rStyle w:val="a4"/>
          <w:color w:val="000000"/>
          <w:sz w:val="18"/>
          <w:szCs w:val="18"/>
        </w:rPr>
        <w:t>0</w:t>
      </w:r>
      <w:r w:rsidR="00F875E0">
        <w:rPr>
          <w:rStyle w:val="a4"/>
          <w:color w:val="000000"/>
          <w:sz w:val="18"/>
          <w:szCs w:val="18"/>
        </w:rPr>
        <w:t>8</w:t>
      </w:r>
      <w:r w:rsidR="003012C9">
        <w:rPr>
          <w:rStyle w:val="a4"/>
          <w:color w:val="000000"/>
          <w:sz w:val="18"/>
          <w:szCs w:val="18"/>
        </w:rPr>
        <w:t>.</w:t>
      </w:r>
      <w:r w:rsidR="00A23DD9">
        <w:rPr>
          <w:rStyle w:val="a4"/>
          <w:color w:val="000000"/>
          <w:sz w:val="18"/>
          <w:szCs w:val="18"/>
        </w:rPr>
        <w:t>0</w:t>
      </w:r>
      <w:r w:rsidR="00D23155">
        <w:rPr>
          <w:rStyle w:val="a4"/>
          <w:color w:val="000000"/>
          <w:sz w:val="18"/>
          <w:szCs w:val="18"/>
        </w:rPr>
        <w:t>2</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w:t>
      </w:r>
      <w:r w:rsidR="00F73200">
        <w:rPr>
          <w:rStyle w:val="a4"/>
          <w:color w:val="000000"/>
          <w:sz w:val="18"/>
          <w:szCs w:val="18"/>
        </w:rPr>
        <w:t>4</w:t>
      </w:r>
      <w:r w:rsidR="00D40C1B">
        <w:rPr>
          <w:rStyle w:val="a4"/>
          <w:color w:val="000000"/>
          <w:sz w:val="18"/>
          <w:szCs w:val="18"/>
        </w:rPr>
        <w:t>-</w:t>
      </w:r>
      <w:r w:rsidR="00D23155">
        <w:rPr>
          <w:rStyle w:val="a4"/>
          <w:color w:val="000000"/>
          <w:sz w:val="18"/>
          <w:szCs w:val="18"/>
        </w:rPr>
        <w:t>0</w:t>
      </w:r>
      <w:r w:rsidR="00F875E0">
        <w:rPr>
          <w:rStyle w:val="a4"/>
          <w:color w:val="000000"/>
          <w:sz w:val="18"/>
          <w:szCs w:val="18"/>
        </w:rPr>
        <w:t>8</w:t>
      </w:r>
      <w:r w:rsidR="00CE7E12">
        <w:rPr>
          <w:rStyle w:val="a4"/>
          <w:color w:val="000000"/>
          <w:sz w:val="18"/>
          <w:szCs w:val="18"/>
        </w:rPr>
        <w:t>-0</w:t>
      </w:r>
      <w:r w:rsidR="00D23155">
        <w:rPr>
          <w:rStyle w:val="a4"/>
          <w:color w:val="000000"/>
          <w:sz w:val="18"/>
          <w:szCs w:val="18"/>
        </w:rPr>
        <w:t>2</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D23155">
        <w:rPr>
          <w:rStyle w:val="a4"/>
          <w:color w:val="000000"/>
          <w:sz w:val="18"/>
          <w:szCs w:val="18"/>
        </w:rPr>
        <w:t>медицинского оборудования</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D23155">
              <w:rPr>
                <w:rStyle w:val="a4"/>
                <w:b w:val="0"/>
                <w:color w:val="000000"/>
                <w:sz w:val="20"/>
                <w:szCs w:val="20"/>
              </w:rPr>
              <w:t>медицинского оборудования</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004BE2" w:rsidP="00C23581">
            <w:pPr>
              <w:rPr>
                <w:rFonts w:eastAsia="Times New Roman"/>
                <w:color w:val="000000"/>
                <w:sz w:val="20"/>
                <w:szCs w:val="20"/>
              </w:rPr>
            </w:pPr>
            <w:r w:rsidRPr="00F73200">
              <w:rPr>
                <w:rFonts w:eastAsia="MS Mincho"/>
                <w:bCs/>
                <w:snapToGrid w:val="0"/>
                <w:spacing w:val="-2"/>
                <w:sz w:val="20"/>
                <w:szCs w:val="20"/>
              </w:rPr>
              <w:t xml:space="preserve">в течение </w:t>
            </w:r>
            <w:r w:rsidR="00D23155">
              <w:rPr>
                <w:rFonts w:eastAsia="MS Mincho"/>
                <w:bCs/>
                <w:snapToGrid w:val="0"/>
                <w:spacing w:val="-2"/>
                <w:sz w:val="20"/>
                <w:szCs w:val="20"/>
              </w:rPr>
              <w:t>15</w:t>
            </w:r>
            <w:r w:rsidRPr="00F73200">
              <w:rPr>
                <w:rFonts w:eastAsia="MS Mincho"/>
                <w:bCs/>
                <w:snapToGrid w:val="0"/>
                <w:spacing w:val="-2"/>
                <w:sz w:val="20"/>
                <w:szCs w:val="20"/>
              </w:rPr>
              <w:t xml:space="preserve"> (</w:t>
            </w:r>
            <w:r w:rsidR="00D23155">
              <w:rPr>
                <w:rFonts w:eastAsia="MS Mincho"/>
                <w:bCs/>
                <w:snapToGrid w:val="0"/>
                <w:spacing w:val="-2"/>
                <w:sz w:val="20"/>
                <w:szCs w:val="20"/>
              </w:rPr>
              <w:t>пятнадцати</w:t>
            </w:r>
            <w:r w:rsidRPr="00F73200">
              <w:rPr>
                <w:rFonts w:eastAsia="MS Mincho"/>
                <w:bCs/>
                <w:snapToGrid w:val="0"/>
                <w:spacing w:val="-2"/>
                <w:sz w:val="20"/>
                <w:szCs w:val="20"/>
              </w:rPr>
              <w:t xml:space="preserve">) календарных дней, </w:t>
            </w:r>
            <w:proofErr w:type="gramStart"/>
            <w:r w:rsidRPr="00F73200">
              <w:rPr>
                <w:rFonts w:eastAsia="MS Mincho"/>
                <w:bCs/>
                <w:snapToGrid w:val="0"/>
                <w:spacing w:val="-2"/>
                <w:sz w:val="20"/>
                <w:szCs w:val="20"/>
              </w:rPr>
              <w:t xml:space="preserve">с даты </w:t>
            </w:r>
            <w:r w:rsidR="00C23581">
              <w:rPr>
                <w:rFonts w:eastAsia="MS Mincho"/>
                <w:bCs/>
                <w:snapToGrid w:val="0"/>
                <w:spacing w:val="-2"/>
                <w:sz w:val="20"/>
                <w:szCs w:val="20"/>
              </w:rPr>
              <w:t>момента</w:t>
            </w:r>
            <w:proofErr w:type="gramEnd"/>
            <w:r w:rsidR="00C23581">
              <w:rPr>
                <w:rFonts w:eastAsia="MS Mincho"/>
                <w:bCs/>
                <w:snapToGrid w:val="0"/>
                <w:spacing w:val="-2"/>
                <w:sz w:val="20"/>
                <w:szCs w:val="20"/>
              </w:rPr>
              <w:t xml:space="preserve"> внесения предоплаты</w:t>
            </w:r>
            <w:r w:rsidR="00F875E0">
              <w:rPr>
                <w:rFonts w:eastAsia="MS Mincho"/>
                <w:bCs/>
                <w:snapToGrid w:val="0"/>
                <w:spacing w:val="-2"/>
                <w:sz w:val="20"/>
                <w:szCs w:val="20"/>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proofErr w:type="spellStart"/>
            <w:r>
              <w:rPr>
                <w:rFonts w:eastAsia="MS Mincho"/>
                <w:bCs/>
                <w:snapToGrid w:val="0"/>
                <w:spacing w:val="-2"/>
                <w:sz w:val="20"/>
                <w:szCs w:val="20"/>
              </w:rPr>
              <w:t>самовывоз</w:t>
            </w:r>
            <w:proofErr w:type="spellEnd"/>
            <w:r>
              <w:rPr>
                <w:rFonts w:eastAsia="MS Mincho"/>
                <w:bCs/>
                <w:snapToGrid w:val="0"/>
                <w:spacing w:val="-2"/>
                <w:sz w:val="20"/>
                <w:szCs w:val="20"/>
              </w:rPr>
              <w:t xml:space="preserve">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F875E0" w:rsidRDefault="00004BE2" w:rsidP="00F875E0">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w:t>
            </w:r>
            <w:r w:rsidR="00F875E0">
              <w:rPr>
                <w:rFonts w:eastAsia="MS Mincho"/>
                <w:bCs/>
                <w:snapToGrid w:val="0"/>
                <w:spacing w:val="-2"/>
                <w:sz w:val="20"/>
                <w:szCs w:val="20"/>
              </w:rPr>
              <w:t xml:space="preserve">100 (сто) % предоплаты в течение 10 (десяти) календарных дней с момента выставления счета </w:t>
            </w:r>
            <w:r w:rsidR="00526A13" w:rsidRPr="00185166">
              <w:rPr>
                <w:rFonts w:eastAsia="MS Mincho"/>
                <w:bCs/>
                <w:snapToGrid w:val="0"/>
                <w:spacing w:val="-2"/>
                <w:sz w:val="20"/>
                <w:szCs w:val="20"/>
              </w:rPr>
              <w:t xml:space="preserve"> </w:t>
            </w:r>
            <w:r w:rsidR="00F875E0">
              <w:rPr>
                <w:rFonts w:eastAsia="MS Mincho"/>
                <w:bCs/>
                <w:snapToGrid w:val="0"/>
                <w:spacing w:val="-2"/>
                <w:sz w:val="20"/>
                <w:szCs w:val="20"/>
              </w:rPr>
              <w:t>Поставщиком</w:t>
            </w:r>
          </w:p>
          <w:p w:rsidR="00004BE2" w:rsidRPr="00185166" w:rsidRDefault="00004BE2" w:rsidP="00F875E0">
            <w:pPr>
              <w:keepNext/>
              <w:contextualSpacing/>
              <w:jc w:val="both"/>
              <w:outlineLvl w:val="2"/>
              <w:rPr>
                <w:bCs/>
                <w:sz w:val="20"/>
                <w:szCs w:val="20"/>
              </w:rPr>
            </w:pP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F73200" w:rsidRDefault="00F875E0" w:rsidP="00D40C1B">
            <w:pPr>
              <w:autoSpaceDE w:val="0"/>
              <w:jc w:val="both"/>
              <w:rPr>
                <w:bCs/>
                <w:color w:val="000000"/>
                <w:sz w:val="20"/>
                <w:szCs w:val="20"/>
              </w:rPr>
            </w:pPr>
            <w:bookmarkStart w:id="0" w:name="_GoBack"/>
            <w:bookmarkEnd w:id="0"/>
            <w:r>
              <w:rPr>
                <w:bCs/>
                <w:color w:val="000000"/>
                <w:sz w:val="20"/>
                <w:szCs w:val="20"/>
              </w:rPr>
              <w:t>60 000</w:t>
            </w:r>
            <w:r w:rsidR="00D23155">
              <w:rPr>
                <w:bCs/>
                <w:color w:val="000000"/>
                <w:sz w:val="20"/>
                <w:szCs w:val="20"/>
              </w:rPr>
              <w:t xml:space="preserve"> (</w:t>
            </w:r>
            <w:r>
              <w:rPr>
                <w:bCs/>
                <w:color w:val="000000"/>
                <w:sz w:val="20"/>
                <w:szCs w:val="20"/>
              </w:rPr>
              <w:t>шестьдесят тысяч</w:t>
            </w:r>
            <w:r w:rsidR="00D23155">
              <w:rPr>
                <w:bCs/>
                <w:color w:val="000000"/>
                <w:sz w:val="20"/>
                <w:szCs w:val="20"/>
              </w:rPr>
              <w:t>)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F73200">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D23155">
              <w:rPr>
                <w:b/>
                <w:sz w:val="20"/>
                <w:szCs w:val="20"/>
              </w:rPr>
              <w:t>0</w:t>
            </w:r>
            <w:r w:rsidR="00F875E0">
              <w:rPr>
                <w:b/>
                <w:sz w:val="20"/>
                <w:szCs w:val="20"/>
              </w:rPr>
              <w:t>8</w:t>
            </w:r>
            <w:r w:rsidR="00D23155">
              <w:rPr>
                <w:b/>
                <w:sz w:val="20"/>
                <w:szCs w:val="20"/>
              </w:rPr>
              <w:t>.02</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F875E0">
              <w:rPr>
                <w:b/>
                <w:bCs/>
                <w:sz w:val="20"/>
                <w:szCs w:val="20"/>
              </w:rPr>
              <w:t>15</w:t>
            </w:r>
            <w:r w:rsidR="005145BF" w:rsidRPr="00F73200">
              <w:rPr>
                <w:b/>
                <w:bCs/>
                <w:sz w:val="20"/>
                <w:szCs w:val="20"/>
              </w:rPr>
              <w:t>.</w:t>
            </w:r>
            <w:r w:rsidR="00DF2B01" w:rsidRPr="00F73200">
              <w:rPr>
                <w:b/>
                <w:bCs/>
                <w:sz w:val="20"/>
                <w:szCs w:val="20"/>
              </w:rPr>
              <w:t>0</w:t>
            </w:r>
            <w:r w:rsidR="00A23DD9" w:rsidRPr="00F73200">
              <w:rPr>
                <w:b/>
                <w:bCs/>
                <w:sz w:val="20"/>
                <w:szCs w:val="20"/>
              </w:rPr>
              <w:t>2</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875E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F875E0" w:rsidRPr="00F875E0">
              <w:rPr>
                <w:b/>
                <w:sz w:val="20"/>
              </w:rPr>
              <w:t>15</w:t>
            </w:r>
            <w:r w:rsidRPr="00F73200">
              <w:rPr>
                <w:b/>
                <w:sz w:val="20"/>
              </w:rPr>
              <w:t>.</w:t>
            </w:r>
            <w:r w:rsidR="005145BF" w:rsidRPr="00F73200">
              <w:rPr>
                <w:b/>
                <w:sz w:val="20"/>
              </w:rPr>
              <w:t>0</w:t>
            </w:r>
            <w:r w:rsidR="00A23DD9" w:rsidRPr="00F73200">
              <w:rPr>
                <w:b/>
                <w:sz w:val="20"/>
              </w:rPr>
              <w:t>2</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875E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F875E0">
              <w:rPr>
                <w:b/>
                <w:bCs/>
                <w:sz w:val="20"/>
                <w:szCs w:val="20"/>
              </w:rPr>
              <w:t>15</w:t>
            </w:r>
            <w:r w:rsidRPr="00F73200">
              <w:rPr>
                <w:b/>
                <w:bCs/>
                <w:sz w:val="20"/>
                <w:szCs w:val="20"/>
              </w:rPr>
              <w:t xml:space="preserve">» </w:t>
            </w:r>
            <w:r w:rsidR="00A23DD9" w:rsidRPr="00F73200">
              <w:rPr>
                <w:b/>
                <w:bCs/>
                <w:sz w:val="20"/>
                <w:szCs w:val="20"/>
              </w:rPr>
              <w:t>февраля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w:t>
            </w:r>
            <w:r w:rsidRPr="00F73200">
              <w:rPr>
                <w:color w:val="000000"/>
                <w:sz w:val="20"/>
                <w:szCs w:val="20"/>
              </w:rPr>
              <w:lastRenderedPageBreak/>
              <w:t xml:space="preserve">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D23155">
              <w:rPr>
                <w:rStyle w:val="a4"/>
                <w:color w:val="000000"/>
                <w:sz w:val="18"/>
                <w:szCs w:val="18"/>
              </w:rPr>
              <w:t>20100000014-0</w:t>
            </w:r>
            <w:r w:rsidR="00F875E0">
              <w:rPr>
                <w:rStyle w:val="a4"/>
                <w:color w:val="000000"/>
                <w:sz w:val="18"/>
                <w:szCs w:val="18"/>
              </w:rPr>
              <w:t>8</w:t>
            </w:r>
            <w:r w:rsidR="00D23155">
              <w:rPr>
                <w:rStyle w:val="a4"/>
                <w:color w:val="000000"/>
                <w:sz w:val="18"/>
                <w:szCs w:val="18"/>
              </w:rPr>
              <w:t>-02-2021</w:t>
            </w:r>
            <w:r>
              <w:rPr>
                <w:rFonts w:eastAsia="Times New Roman"/>
                <w:color w:val="000000"/>
                <w:sz w:val="18"/>
                <w:szCs w:val="18"/>
              </w:rPr>
              <w:t xml:space="preserve">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F875E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F875E0">
              <w:rPr>
                <w:rFonts w:eastAsia="Times New Roman"/>
                <w:b/>
                <w:color w:val="000000"/>
                <w:sz w:val="18"/>
                <w:szCs w:val="18"/>
              </w:rPr>
              <w:t>15</w:t>
            </w:r>
            <w:r w:rsidR="00DA7E22">
              <w:rPr>
                <w:rFonts w:eastAsia="Times New Roman"/>
                <w:b/>
                <w:color w:val="000000"/>
                <w:sz w:val="18"/>
                <w:szCs w:val="18"/>
              </w:rPr>
              <w:t>.0</w:t>
            </w:r>
            <w:r w:rsidR="00A23DD9">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A61F7" w:rsidP="00086C09">
      <w:pPr>
        <w:jc w:val="center"/>
        <w:rPr>
          <w:rFonts w:eastAsia="Times New Roman"/>
          <w:color w:val="000000"/>
          <w:sz w:val="18"/>
          <w:szCs w:val="18"/>
        </w:rPr>
      </w:pPr>
      <w:r w:rsidRPr="008A61F7">
        <w:rPr>
          <w:rFonts w:eastAsia="Times New Roman"/>
          <w:color w:val="000000"/>
          <w:sz w:val="18"/>
          <w:szCs w:val="18"/>
        </w:rPr>
        <w:pict>
          <v:rect id="_x0000_i1025" style="width:467.75pt;height:1.5pt" o:hralign="center" o:hrstd="t" o:hr="t" fillcolor="#a0a0a0" stroked="f"/>
        </w:pict>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W w:w="11071" w:type="dxa"/>
        <w:tblInd w:w="94" w:type="dxa"/>
        <w:tblLook w:val="04A0"/>
      </w:tblPr>
      <w:tblGrid>
        <w:gridCol w:w="580"/>
        <w:gridCol w:w="2019"/>
        <w:gridCol w:w="6334"/>
        <w:gridCol w:w="862"/>
        <w:gridCol w:w="1276"/>
      </w:tblGrid>
      <w:tr w:rsidR="003A0F02" w:rsidRPr="003A0F02" w:rsidTr="003A0F02">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lastRenderedPageBreak/>
              <w:t xml:space="preserve">№ </w:t>
            </w:r>
            <w:proofErr w:type="spellStart"/>
            <w:r w:rsidRPr="003A0F02">
              <w:rPr>
                <w:rFonts w:eastAsia="Times New Roman"/>
                <w:sz w:val="22"/>
                <w:szCs w:val="22"/>
              </w:rPr>
              <w:t>п</w:t>
            </w:r>
            <w:proofErr w:type="spellEnd"/>
            <w:r w:rsidRPr="003A0F02">
              <w:rPr>
                <w:rFonts w:eastAsia="Times New Roman"/>
                <w:sz w:val="22"/>
                <w:szCs w:val="22"/>
              </w:rPr>
              <w:t>/</w:t>
            </w:r>
            <w:proofErr w:type="spellStart"/>
            <w:r w:rsidRPr="003A0F02">
              <w:rPr>
                <w:rFonts w:eastAsia="Times New Roman"/>
                <w:sz w:val="22"/>
                <w:szCs w:val="22"/>
              </w:rPr>
              <w:t>п</w:t>
            </w:r>
            <w:proofErr w:type="spellEnd"/>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Наименование товара </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Технические характеристики товара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Ед</w:t>
            </w:r>
            <w:proofErr w:type="gramStart"/>
            <w:r w:rsidRPr="003A0F02">
              <w:rPr>
                <w:rFonts w:eastAsia="Times New Roman"/>
                <w:sz w:val="22"/>
                <w:szCs w:val="22"/>
              </w:rPr>
              <w:t>.и</w:t>
            </w:r>
            <w:proofErr w:type="gramEnd"/>
            <w:r w:rsidRPr="003A0F02">
              <w:rPr>
                <w:rFonts w:eastAsia="Times New Roman"/>
                <w:sz w:val="22"/>
                <w:szCs w:val="22"/>
              </w:rPr>
              <w:t>зм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Кол-во</w:t>
            </w:r>
          </w:p>
        </w:tc>
      </w:tr>
      <w:tr w:rsidR="003A0F02" w:rsidRPr="003A0F02" w:rsidTr="00D23155">
        <w:trPr>
          <w:trHeight w:val="24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w:t>
            </w:r>
          </w:p>
        </w:tc>
        <w:tc>
          <w:tcPr>
            <w:tcW w:w="2019" w:type="dxa"/>
            <w:tcBorders>
              <w:top w:val="nil"/>
              <w:left w:val="nil"/>
              <w:bottom w:val="single" w:sz="4" w:space="0" w:color="auto"/>
              <w:right w:val="single" w:sz="4" w:space="0" w:color="auto"/>
            </w:tcBorders>
            <w:shd w:val="clear" w:color="auto" w:fill="auto"/>
            <w:vAlign w:val="center"/>
            <w:hideMark/>
          </w:tcPr>
          <w:p w:rsidR="003A0F02" w:rsidRPr="00D23155" w:rsidRDefault="00F875E0" w:rsidP="003A0F02">
            <w:pPr>
              <w:jc w:val="center"/>
              <w:rPr>
                <w:rFonts w:eastAsia="Times New Roman"/>
                <w:sz w:val="22"/>
                <w:szCs w:val="22"/>
              </w:rPr>
            </w:pPr>
            <w:r>
              <w:rPr>
                <w:rFonts w:eastAsia="Times New Roman"/>
                <w:sz w:val="22"/>
                <w:szCs w:val="22"/>
              </w:rPr>
              <w:t>Пороговый сигнализатор паров этанола</w:t>
            </w:r>
          </w:p>
        </w:tc>
        <w:tc>
          <w:tcPr>
            <w:tcW w:w="6334" w:type="dxa"/>
            <w:tcBorders>
              <w:top w:val="nil"/>
              <w:left w:val="nil"/>
              <w:bottom w:val="single" w:sz="4" w:space="0" w:color="auto"/>
              <w:right w:val="single" w:sz="4" w:space="0" w:color="auto"/>
            </w:tcBorders>
            <w:shd w:val="clear" w:color="auto" w:fill="auto"/>
            <w:vAlign w:val="center"/>
            <w:hideMark/>
          </w:tcPr>
          <w:p w:rsidR="003A0F02" w:rsidRDefault="00F875E0" w:rsidP="00F875E0">
            <w:pPr>
              <w:spacing w:before="100" w:beforeAutospacing="1" w:after="100" w:afterAutospacing="1"/>
              <w:jc w:val="both"/>
              <w:rPr>
                <w:rFonts w:eastAsia="Times New Roman"/>
                <w:sz w:val="22"/>
                <w:szCs w:val="22"/>
              </w:rPr>
            </w:pPr>
            <w:r>
              <w:rPr>
                <w:rFonts w:eastAsia="Times New Roman"/>
                <w:sz w:val="22"/>
                <w:szCs w:val="22"/>
              </w:rPr>
              <w:t>Электромеханический датчик, определяющий чувствительность к алкоголю, особенно в области малых доз алкоголя. Нечувствителен к другим соединениям (ацетон, альдегиды и пр.), образующим «физиологический фон» в выдыхаемом воздухе.</w:t>
            </w:r>
          </w:p>
          <w:p w:rsidR="00F875E0" w:rsidRDefault="00F875E0" w:rsidP="00F875E0">
            <w:pPr>
              <w:spacing w:before="100" w:beforeAutospacing="1" w:after="100" w:afterAutospacing="1"/>
              <w:rPr>
                <w:rFonts w:eastAsia="Times New Roman"/>
                <w:sz w:val="22"/>
                <w:szCs w:val="22"/>
              </w:rPr>
            </w:pPr>
            <w:r>
              <w:rPr>
                <w:rFonts w:eastAsia="Times New Roman"/>
                <w:sz w:val="22"/>
                <w:szCs w:val="22"/>
              </w:rPr>
              <w:t>Свойства:</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Абсолютная избирательность по отношению к алкоголю</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Высокая производительность</w:t>
            </w:r>
            <w:proofErr w:type="gramStart"/>
            <w:r>
              <w:rPr>
                <w:rFonts w:eastAsia="Times New Roman"/>
                <w:sz w:val="22"/>
                <w:szCs w:val="22"/>
              </w:rPr>
              <w:t xml:space="preserve"> :</w:t>
            </w:r>
            <w:proofErr w:type="gramEnd"/>
            <w:r>
              <w:rPr>
                <w:rFonts w:eastAsia="Times New Roman"/>
                <w:sz w:val="22"/>
                <w:szCs w:val="22"/>
              </w:rPr>
              <w:t xml:space="preserve"> прибор предназначен для быстрого скрининга большого количества обследуемых</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Не требует одноразовых мундштуков</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Есть режим принудительного отбора проб</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Минимальное потребление мощности</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Высокая точность</w:t>
            </w:r>
          </w:p>
          <w:p w:rsidR="00F875E0" w:rsidRDefault="00F875E0" w:rsidP="00F875E0">
            <w:pPr>
              <w:pStyle w:val="af3"/>
              <w:numPr>
                <w:ilvl w:val="1"/>
                <w:numId w:val="4"/>
              </w:numPr>
              <w:tabs>
                <w:tab w:val="clear" w:pos="1440"/>
              </w:tabs>
              <w:spacing w:before="100" w:beforeAutospacing="1" w:after="100" w:afterAutospacing="1"/>
              <w:ind w:left="284" w:hanging="283"/>
              <w:rPr>
                <w:rFonts w:eastAsia="Times New Roman"/>
                <w:sz w:val="22"/>
                <w:szCs w:val="22"/>
              </w:rPr>
            </w:pPr>
            <w:r>
              <w:rPr>
                <w:rFonts w:eastAsia="Times New Roman"/>
                <w:sz w:val="22"/>
                <w:szCs w:val="22"/>
              </w:rPr>
              <w:t>Цветовая индикация уровня алкоголя</w:t>
            </w:r>
          </w:p>
          <w:p w:rsidR="00F875E0" w:rsidRDefault="00F875E0" w:rsidP="00F875E0">
            <w:pPr>
              <w:pStyle w:val="af3"/>
              <w:spacing w:before="100" w:beforeAutospacing="1" w:after="100" w:afterAutospacing="1"/>
              <w:ind w:left="284"/>
              <w:rPr>
                <w:rFonts w:eastAsia="Times New Roman"/>
                <w:sz w:val="22"/>
                <w:szCs w:val="22"/>
              </w:rPr>
            </w:pPr>
            <w:r>
              <w:rPr>
                <w:rFonts w:eastAsia="Times New Roman"/>
                <w:sz w:val="22"/>
                <w:szCs w:val="22"/>
              </w:rPr>
              <w:t>Контроль правильности отбора дыхательной пробы сопровождается световой и звуковой индикацией.</w:t>
            </w:r>
          </w:p>
          <w:p w:rsidR="00395B43" w:rsidRDefault="00395B43" w:rsidP="00F875E0">
            <w:pPr>
              <w:pStyle w:val="af3"/>
              <w:spacing w:before="100" w:beforeAutospacing="1" w:after="100" w:afterAutospacing="1"/>
              <w:ind w:left="284"/>
              <w:rPr>
                <w:rFonts w:eastAsia="Times New Roman"/>
                <w:sz w:val="22"/>
                <w:szCs w:val="22"/>
              </w:rPr>
            </w:pPr>
          </w:p>
          <w:p w:rsidR="00395B43" w:rsidRDefault="00395B43" w:rsidP="00F875E0">
            <w:pPr>
              <w:pStyle w:val="af3"/>
              <w:spacing w:before="100" w:beforeAutospacing="1" w:after="100" w:afterAutospacing="1"/>
              <w:ind w:left="284"/>
              <w:rPr>
                <w:rFonts w:eastAsia="Times New Roman"/>
                <w:sz w:val="22"/>
                <w:szCs w:val="22"/>
              </w:rPr>
            </w:pPr>
            <w:r>
              <w:rPr>
                <w:rFonts w:eastAsia="Times New Roman"/>
                <w:sz w:val="22"/>
                <w:szCs w:val="22"/>
              </w:rPr>
              <w:t xml:space="preserve">Наличие регистрационного удостоверения </w:t>
            </w:r>
            <w:proofErr w:type="spellStart"/>
            <w:r>
              <w:rPr>
                <w:rFonts w:eastAsia="Times New Roman"/>
                <w:sz w:val="22"/>
                <w:szCs w:val="22"/>
              </w:rPr>
              <w:t>Росздравнадзора</w:t>
            </w:r>
            <w:proofErr w:type="spellEnd"/>
            <w:r>
              <w:rPr>
                <w:rFonts w:eastAsia="Times New Roman"/>
                <w:sz w:val="22"/>
                <w:szCs w:val="22"/>
              </w:rPr>
              <w:t xml:space="preserve">, свидетельства об утверждении типа средств измерений в </w:t>
            </w:r>
            <w:proofErr w:type="spellStart"/>
            <w:r>
              <w:rPr>
                <w:rFonts w:eastAsia="Times New Roman"/>
                <w:sz w:val="22"/>
                <w:szCs w:val="22"/>
              </w:rPr>
              <w:t>Госреестре</w:t>
            </w:r>
            <w:proofErr w:type="spellEnd"/>
            <w:r>
              <w:rPr>
                <w:rFonts w:eastAsia="Times New Roman"/>
                <w:sz w:val="22"/>
                <w:szCs w:val="22"/>
              </w:rPr>
              <w:t xml:space="preserve"> средств измерений</w:t>
            </w:r>
          </w:p>
          <w:p w:rsidR="00395B43" w:rsidRDefault="00395B43" w:rsidP="00F875E0">
            <w:pPr>
              <w:pStyle w:val="af3"/>
              <w:spacing w:before="100" w:beforeAutospacing="1" w:after="100" w:afterAutospacing="1"/>
              <w:ind w:left="284"/>
              <w:rPr>
                <w:rFonts w:eastAsia="Times New Roman"/>
                <w:sz w:val="22"/>
                <w:szCs w:val="22"/>
              </w:rPr>
            </w:pPr>
          </w:p>
          <w:p w:rsidR="00395B43" w:rsidRDefault="00395B43" w:rsidP="00F875E0">
            <w:pPr>
              <w:pStyle w:val="af3"/>
              <w:spacing w:before="100" w:beforeAutospacing="1" w:after="100" w:afterAutospacing="1"/>
              <w:ind w:left="284"/>
              <w:rPr>
                <w:rFonts w:eastAsia="Times New Roman"/>
                <w:sz w:val="22"/>
                <w:szCs w:val="22"/>
              </w:rPr>
            </w:pPr>
            <w:r>
              <w:rPr>
                <w:rFonts w:eastAsia="Times New Roman"/>
                <w:sz w:val="22"/>
                <w:szCs w:val="22"/>
              </w:rPr>
              <w:t>Обязательно: руководство по эксплуатации, паспорта с отметкой о первичной метрологической поверке и гарантии</w:t>
            </w:r>
          </w:p>
          <w:p w:rsidR="00395B43" w:rsidRPr="00F875E0" w:rsidRDefault="00395B43" w:rsidP="00F875E0">
            <w:pPr>
              <w:pStyle w:val="af3"/>
              <w:spacing w:before="100" w:beforeAutospacing="1" w:after="100" w:afterAutospacing="1"/>
              <w:ind w:left="284"/>
              <w:rPr>
                <w:rFonts w:eastAsia="Times New Roman"/>
                <w:sz w:val="22"/>
                <w:szCs w:val="22"/>
              </w:rPr>
            </w:pP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F875E0" w:rsidP="003A0F02">
            <w:pPr>
              <w:jc w:val="center"/>
              <w:rPr>
                <w:rFonts w:eastAsia="Times New Roman"/>
                <w:sz w:val="22"/>
                <w:szCs w:val="22"/>
              </w:rPr>
            </w:pPr>
            <w:r>
              <w:rPr>
                <w:rFonts w:eastAsia="Times New Roman"/>
                <w:sz w:val="22"/>
                <w:szCs w:val="22"/>
              </w:rPr>
              <w:t>2</w:t>
            </w:r>
          </w:p>
        </w:tc>
      </w:tr>
    </w:tbl>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lastRenderedPageBreak/>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395B43" w:rsidP="00DF2B01">
      <w:pPr>
        <w:pStyle w:val="Standard"/>
        <w:ind w:firstLine="709"/>
        <w:jc w:val="both"/>
      </w:pPr>
      <w:r>
        <w:t xml:space="preserve">100 (сто) % </w:t>
      </w:r>
      <w:r w:rsidRPr="00395B43">
        <w:rPr>
          <w:rFonts w:eastAsia="MS Mincho"/>
          <w:bCs/>
          <w:snapToGrid w:val="0"/>
          <w:spacing w:val="-2"/>
        </w:rPr>
        <w:t>предоплаты в течение 10 (десяти) календарных дней с момента выставления счета  Поставщиком</w:t>
      </w:r>
      <w:r w:rsidR="00DF2B01" w:rsidRPr="00B446C8">
        <w:t>.</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lastRenderedPageBreak/>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lastRenderedPageBreak/>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w:t>
      </w:r>
      <w:r w:rsidRPr="00F535EE">
        <w:rPr>
          <w:color w:val="000000"/>
        </w:rPr>
        <w:lastRenderedPageBreak/>
        <w:t>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lastRenderedPageBreak/>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lastRenderedPageBreak/>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005F"/>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E7FE-5AE4-4851-A8A2-0BEEFE08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2021-01-27T10:57:00Z</dcterms:created>
  <dcterms:modified xsi:type="dcterms:W3CDTF">2021-02-08T11:13:00Z</dcterms:modified>
</cp:coreProperties>
</file>